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23" w:rsidRDefault="003A4C23" w:rsidP="00E7637D">
      <w:pPr>
        <w:pStyle w:val="Heading6"/>
        <w:rPr>
          <w:sz w:val="24"/>
          <w:szCs w:val="24"/>
        </w:rPr>
      </w:pPr>
      <w:r>
        <w:rPr>
          <w:rFonts w:ascii="Open Sans" w:hAnsi="Open Sans"/>
          <w:noProof/>
          <w:color w:val="0088CC"/>
          <w:sz w:val="21"/>
          <w:szCs w:val="21"/>
        </w:rPr>
        <w:drawing>
          <wp:inline distT="0" distB="0" distL="0" distR="0" wp14:anchorId="2592F2F4" wp14:editId="117F4F6D">
            <wp:extent cx="1905000" cy="638175"/>
            <wp:effectExtent l="0" t="0" r="0" b="9525"/>
            <wp:docPr id="7" name="Picture 7" descr="NACAS East Logo">
              <a:hlinkClick xmlns:a="http://schemas.openxmlformats.org/drawingml/2006/main" r:id="rId6" tooltip="&quot;Conferen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CAS East Logo">
                      <a:hlinkClick r:id="rId6" tooltip="&quot;Conferen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4C23" w:rsidRDefault="003A4C23" w:rsidP="00E7637D">
      <w:pPr>
        <w:pStyle w:val="Heading6"/>
        <w:rPr>
          <w:sz w:val="24"/>
          <w:szCs w:val="24"/>
        </w:rPr>
      </w:pPr>
    </w:p>
    <w:p w:rsidR="00E7637D" w:rsidRPr="003A0C17" w:rsidRDefault="00E7637D" w:rsidP="00E7637D">
      <w:pPr>
        <w:rPr>
          <w:b/>
          <w:sz w:val="24"/>
          <w:szCs w:val="24"/>
        </w:rPr>
      </w:pPr>
      <w:r w:rsidRPr="003A0C17">
        <w:rPr>
          <w:b/>
          <w:sz w:val="24"/>
          <w:szCs w:val="24"/>
        </w:rPr>
        <w:t xml:space="preserve">EDUCATIONAL GRANTS </w:t>
      </w:r>
    </w:p>
    <w:p w:rsidR="00E7637D" w:rsidRDefault="00E7637D" w:rsidP="00E7637D">
      <w:pPr>
        <w:rPr>
          <w:sz w:val="24"/>
          <w:szCs w:val="24"/>
          <w:u w:val="single"/>
        </w:rPr>
      </w:pPr>
    </w:p>
    <w:p w:rsidR="003A4C23" w:rsidRPr="00E256FB" w:rsidRDefault="003A4C23" w:rsidP="003A4C23">
      <w:pPr>
        <w:rPr>
          <w:sz w:val="24"/>
          <w:szCs w:val="24"/>
        </w:rPr>
      </w:pPr>
      <w:r w:rsidRPr="00E256FB">
        <w:rPr>
          <w:sz w:val="24"/>
          <w:szCs w:val="24"/>
        </w:rPr>
        <w:t xml:space="preserve">SCOPE:  To determine the selection criteria and method for the </w:t>
      </w:r>
      <w:r w:rsidR="00051373">
        <w:rPr>
          <w:sz w:val="24"/>
          <w:szCs w:val="24"/>
        </w:rPr>
        <w:t>provision of educational grants</w:t>
      </w:r>
      <w:r w:rsidR="00D731DA">
        <w:rPr>
          <w:sz w:val="24"/>
          <w:szCs w:val="24"/>
        </w:rPr>
        <w:t xml:space="preserve"> </w:t>
      </w:r>
      <w:r w:rsidRPr="00E256FB">
        <w:rPr>
          <w:sz w:val="24"/>
          <w:szCs w:val="24"/>
        </w:rPr>
        <w:t>for NACAS East members.</w:t>
      </w:r>
    </w:p>
    <w:p w:rsidR="003A4C23" w:rsidRDefault="003A4C23" w:rsidP="00A537CE">
      <w:pPr>
        <w:rPr>
          <w:sz w:val="24"/>
          <w:szCs w:val="24"/>
        </w:rPr>
      </w:pPr>
    </w:p>
    <w:p w:rsidR="00A537CE" w:rsidRDefault="00A537CE" w:rsidP="00A537CE">
      <w:pPr>
        <w:rPr>
          <w:sz w:val="24"/>
          <w:szCs w:val="24"/>
        </w:rPr>
      </w:pPr>
      <w:r w:rsidRPr="00A537CE">
        <w:rPr>
          <w:sz w:val="24"/>
          <w:szCs w:val="24"/>
        </w:rPr>
        <w:t>In order to promote</w:t>
      </w:r>
      <w:r w:rsidR="00692557" w:rsidRPr="00692557">
        <w:rPr>
          <w:sz w:val="24"/>
          <w:szCs w:val="24"/>
        </w:rPr>
        <w:t xml:space="preserve"> </w:t>
      </w:r>
      <w:r w:rsidRPr="00A537CE">
        <w:rPr>
          <w:sz w:val="24"/>
          <w:szCs w:val="24"/>
        </w:rPr>
        <w:t>professional development</w:t>
      </w:r>
      <w:r w:rsidR="00692557">
        <w:rPr>
          <w:sz w:val="24"/>
          <w:szCs w:val="24"/>
        </w:rPr>
        <w:t xml:space="preserve">, </w:t>
      </w:r>
      <w:r>
        <w:rPr>
          <w:sz w:val="24"/>
          <w:szCs w:val="24"/>
        </w:rPr>
        <w:t>e</w:t>
      </w:r>
      <w:r w:rsidRPr="00A537CE">
        <w:rPr>
          <w:sz w:val="24"/>
          <w:szCs w:val="24"/>
        </w:rPr>
        <w:t xml:space="preserve">ncourage participation </w:t>
      </w:r>
      <w:r>
        <w:rPr>
          <w:sz w:val="24"/>
          <w:szCs w:val="24"/>
        </w:rPr>
        <w:t>in</w:t>
      </w:r>
      <w:r w:rsidRPr="00A537CE">
        <w:rPr>
          <w:sz w:val="24"/>
          <w:szCs w:val="24"/>
        </w:rPr>
        <w:t xml:space="preserve"> NACAS regional </w:t>
      </w:r>
      <w:r>
        <w:rPr>
          <w:sz w:val="24"/>
          <w:szCs w:val="24"/>
        </w:rPr>
        <w:t xml:space="preserve">and national </w:t>
      </w:r>
      <w:r w:rsidRPr="00A537CE">
        <w:rPr>
          <w:sz w:val="24"/>
          <w:szCs w:val="24"/>
        </w:rPr>
        <w:t xml:space="preserve">conferences and </w:t>
      </w:r>
      <w:r>
        <w:rPr>
          <w:sz w:val="24"/>
          <w:szCs w:val="24"/>
        </w:rPr>
        <w:t xml:space="preserve">educational </w:t>
      </w:r>
      <w:r w:rsidRPr="00A537CE">
        <w:rPr>
          <w:sz w:val="24"/>
          <w:szCs w:val="24"/>
        </w:rPr>
        <w:t>programs</w:t>
      </w:r>
      <w:r>
        <w:rPr>
          <w:sz w:val="24"/>
          <w:szCs w:val="24"/>
        </w:rPr>
        <w:t>,</w:t>
      </w:r>
      <w:r w:rsidR="00692557">
        <w:rPr>
          <w:sz w:val="24"/>
          <w:szCs w:val="24"/>
        </w:rPr>
        <w:t xml:space="preserve"> and financially assist member institutions</w:t>
      </w:r>
      <w:r w:rsidR="00822BA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92557">
        <w:rPr>
          <w:sz w:val="24"/>
          <w:szCs w:val="24"/>
        </w:rPr>
        <w:t>NACAS East has established annual grants for its educational programs</w:t>
      </w:r>
      <w:r w:rsidR="00E6600F">
        <w:rPr>
          <w:sz w:val="24"/>
          <w:szCs w:val="24"/>
        </w:rPr>
        <w:t>.</w:t>
      </w:r>
    </w:p>
    <w:p w:rsidR="00326E2D" w:rsidRPr="00E256FB" w:rsidRDefault="00326E2D" w:rsidP="00E7637D">
      <w:pPr>
        <w:rPr>
          <w:sz w:val="24"/>
          <w:szCs w:val="24"/>
          <w:u w:val="single"/>
        </w:rPr>
      </w:pPr>
    </w:p>
    <w:p w:rsidR="00E7637D" w:rsidRDefault="00E7637D" w:rsidP="00E7637D">
      <w:pPr>
        <w:rPr>
          <w:sz w:val="24"/>
          <w:szCs w:val="24"/>
        </w:rPr>
      </w:pPr>
      <w:r w:rsidRPr="00E256FB">
        <w:rPr>
          <w:sz w:val="24"/>
          <w:szCs w:val="24"/>
        </w:rPr>
        <w:t xml:space="preserve">The </w:t>
      </w:r>
      <w:r w:rsidR="00634199" w:rsidRPr="00E256FB">
        <w:rPr>
          <w:sz w:val="24"/>
          <w:szCs w:val="24"/>
        </w:rPr>
        <w:t>NACAS East Board of Directors</w:t>
      </w:r>
      <w:r w:rsidRPr="00E256FB">
        <w:rPr>
          <w:sz w:val="24"/>
          <w:szCs w:val="24"/>
        </w:rPr>
        <w:t xml:space="preserve"> will determine and budget for a specific number of </w:t>
      </w:r>
      <w:r w:rsidR="00675DAA" w:rsidRPr="00E256FB">
        <w:rPr>
          <w:sz w:val="24"/>
          <w:szCs w:val="24"/>
        </w:rPr>
        <w:t>educational</w:t>
      </w:r>
      <w:r w:rsidR="00DB1B11" w:rsidRPr="00E256FB">
        <w:rPr>
          <w:sz w:val="24"/>
          <w:szCs w:val="24"/>
        </w:rPr>
        <w:t xml:space="preserve"> </w:t>
      </w:r>
      <w:r w:rsidRPr="00E256FB">
        <w:rPr>
          <w:sz w:val="24"/>
          <w:szCs w:val="24"/>
        </w:rPr>
        <w:t xml:space="preserve">grants to be provided each year from the </w:t>
      </w:r>
      <w:r w:rsidR="00634199" w:rsidRPr="00E256FB">
        <w:rPr>
          <w:sz w:val="24"/>
          <w:szCs w:val="24"/>
        </w:rPr>
        <w:t>regional</w:t>
      </w:r>
      <w:r w:rsidRPr="00E256FB">
        <w:rPr>
          <w:sz w:val="24"/>
          <w:szCs w:val="24"/>
        </w:rPr>
        <w:t xml:space="preserve"> budget. </w:t>
      </w:r>
    </w:p>
    <w:p w:rsidR="00805357" w:rsidRPr="009E01AB" w:rsidRDefault="00805357" w:rsidP="00E7637D">
      <w:pPr>
        <w:rPr>
          <w:color w:val="C00000"/>
          <w:sz w:val="24"/>
          <w:szCs w:val="24"/>
        </w:rPr>
      </w:pPr>
    </w:p>
    <w:p w:rsidR="00E256FB" w:rsidRPr="00E256FB" w:rsidRDefault="00E256FB" w:rsidP="00E256FB">
      <w:pPr>
        <w:rPr>
          <w:sz w:val="24"/>
          <w:szCs w:val="24"/>
        </w:rPr>
      </w:pPr>
      <w:r w:rsidRPr="00E256FB">
        <w:rPr>
          <w:sz w:val="24"/>
          <w:szCs w:val="24"/>
          <w:u w:val="single"/>
        </w:rPr>
        <w:t>Educational Grants</w:t>
      </w:r>
      <w:r w:rsidRPr="00E256FB">
        <w:rPr>
          <w:sz w:val="24"/>
          <w:szCs w:val="24"/>
        </w:rPr>
        <w:t xml:space="preserve">  </w:t>
      </w:r>
    </w:p>
    <w:p w:rsidR="00E256FB" w:rsidRPr="00E256FB" w:rsidRDefault="009E01AB" w:rsidP="00634BE6">
      <w:pPr>
        <w:rPr>
          <w:sz w:val="24"/>
          <w:szCs w:val="24"/>
        </w:rPr>
      </w:pPr>
      <w:r>
        <w:rPr>
          <w:sz w:val="24"/>
          <w:szCs w:val="24"/>
        </w:rPr>
        <w:t>Educati</w:t>
      </w:r>
      <w:r w:rsidR="00E256FB">
        <w:rPr>
          <w:sz w:val="24"/>
          <w:szCs w:val="24"/>
        </w:rPr>
        <w:t>onal g</w:t>
      </w:r>
      <w:r w:rsidR="00E256FB" w:rsidRPr="00E256FB">
        <w:rPr>
          <w:sz w:val="24"/>
          <w:szCs w:val="24"/>
        </w:rPr>
        <w:t xml:space="preserve">rants </w:t>
      </w:r>
      <w:r w:rsidR="00F14113">
        <w:rPr>
          <w:sz w:val="24"/>
          <w:szCs w:val="24"/>
        </w:rPr>
        <w:t xml:space="preserve">will be provided </w:t>
      </w:r>
      <w:r w:rsidR="00E7637D" w:rsidRPr="00E256FB">
        <w:rPr>
          <w:sz w:val="24"/>
          <w:szCs w:val="24"/>
        </w:rPr>
        <w:t xml:space="preserve">for education and </w:t>
      </w:r>
      <w:r w:rsidR="00051373">
        <w:rPr>
          <w:sz w:val="24"/>
          <w:szCs w:val="24"/>
        </w:rPr>
        <w:t xml:space="preserve">professional </w:t>
      </w:r>
      <w:r w:rsidR="00E7637D" w:rsidRPr="00E256FB">
        <w:rPr>
          <w:sz w:val="24"/>
          <w:szCs w:val="24"/>
        </w:rPr>
        <w:t xml:space="preserve">development. Monies budgeted will be allocated among recipients to help cover costs associated with attendance to </w:t>
      </w:r>
      <w:r w:rsidR="00E256FB" w:rsidRPr="00E256FB">
        <w:rPr>
          <w:sz w:val="24"/>
          <w:szCs w:val="24"/>
        </w:rPr>
        <w:t>eligible events. Eligible events include the NACAS East regional</w:t>
      </w:r>
      <w:r w:rsidR="00F14113">
        <w:rPr>
          <w:sz w:val="24"/>
          <w:szCs w:val="24"/>
        </w:rPr>
        <w:t xml:space="preserve"> </w:t>
      </w:r>
      <w:r w:rsidR="00E256FB" w:rsidRPr="00E256FB">
        <w:rPr>
          <w:sz w:val="24"/>
          <w:szCs w:val="24"/>
        </w:rPr>
        <w:t xml:space="preserve">conference, the NACAS national conference, </w:t>
      </w:r>
      <w:r w:rsidR="00805357">
        <w:rPr>
          <w:sz w:val="24"/>
          <w:szCs w:val="24"/>
        </w:rPr>
        <w:t>and CASP</w:t>
      </w:r>
      <w:r w:rsidR="00E256FB" w:rsidRPr="00E256FB">
        <w:rPr>
          <w:sz w:val="24"/>
          <w:szCs w:val="24"/>
        </w:rPr>
        <w:t>.</w:t>
      </w:r>
      <w:r w:rsidR="00C33998">
        <w:rPr>
          <w:sz w:val="24"/>
          <w:szCs w:val="24"/>
        </w:rPr>
        <w:t xml:space="preserve"> Costs covered</w:t>
      </w:r>
      <w:r w:rsidR="00051373">
        <w:rPr>
          <w:sz w:val="24"/>
          <w:szCs w:val="24"/>
        </w:rPr>
        <w:t xml:space="preserve"> </w:t>
      </w:r>
      <w:r w:rsidR="00F14113">
        <w:rPr>
          <w:sz w:val="24"/>
          <w:szCs w:val="24"/>
        </w:rPr>
        <w:t xml:space="preserve">will include </w:t>
      </w:r>
      <w:r w:rsidR="00C33998">
        <w:rPr>
          <w:sz w:val="24"/>
          <w:szCs w:val="24"/>
        </w:rPr>
        <w:t>registrations fees</w:t>
      </w:r>
      <w:r w:rsidR="00F14113">
        <w:rPr>
          <w:sz w:val="24"/>
          <w:szCs w:val="24"/>
        </w:rPr>
        <w:t xml:space="preserve">.  </w:t>
      </w:r>
    </w:p>
    <w:p w:rsidR="00634BE6" w:rsidRDefault="00634BE6" w:rsidP="00634BE6">
      <w:pPr>
        <w:rPr>
          <w:sz w:val="24"/>
          <w:szCs w:val="24"/>
          <w:u w:val="single"/>
        </w:rPr>
      </w:pPr>
    </w:p>
    <w:p w:rsidR="00634BE6" w:rsidRPr="00D408A7" w:rsidRDefault="00634BE6" w:rsidP="00634BE6">
      <w:pPr>
        <w:pStyle w:val="Heading4"/>
        <w:spacing w:before="0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u w:val="single"/>
        </w:rPr>
      </w:pPr>
      <w:r w:rsidRPr="00D408A7">
        <w:rPr>
          <w:rFonts w:ascii="Times New Roman" w:hAnsi="Times New Roman" w:cs="Times New Roman"/>
          <w:b w:val="0"/>
          <w:i w:val="0"/>
          <w:color w:val="auto"/>
          <w:spacing w:val="-1"/>
          <w:sz w:val="24"/>
          <w:szCs w:val="24"/>
          <w:u w:val="single"/>
        </w:rPr>
        <w:t>Grant</w:t>
      </w:r>
      <w:r w:rsidRPr="00D408A7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  <w:t xml:space="preserve"> </w:t>
      </w:r>
      <w:r w:rsidR="00D408A7" w:rsidRPr="00D408A7">
        <w:rPr>
          <w:rFonts w:ascii="Times New Roman" w:hAnsi="Times New Roman" w:cs="Times New Roman"/>
          <w:b w:val="0"/>
          <w:i w:val="0"/>
          <w:color w:val="auto"/>
          <w:spacing w:val="-1"/>
          <w:sz w:val="24"/>
          <w:szCs w:val="24"/>
          <w:u w:val="single"/>
        </w:rPr>
        <w:t>A</w:t>
      </w:r>
      <w:r w:rsidRPr="00D408A7">
        <w:rPr>
          <w:rFonts w:ascii="Times New Roman" w:hAnsi="Times New Roman" w:cs="Times New Roman"/>
          <w:b w:val="0"/>
          <w:i w:val="0"/>
          <w:color w:val="auto"/>
          <w:spacing w:val="-1"/>
          <w:sz w:val="24"/>
          <w:szCs w:val="24"/>
          <w:u w:val="single"/>
        </w:rPr>
        <w:t>llocation</w:t>
      </w:r>
    </w:p>
    <w:p w:rsidR="00634BE6" w:rsidRPr="00D408A7" w:rsidRDefault="00634BE6" w:rsidP="00F14113">
      <w:pPr>
        <w:pStyle w:val="BodyText"/>
        <w:ind w:left="0"/>
        <w:rPr>
          <w:rFonts w:cs="Times New Roman"/>
          <w:sz w:val="24"/>
          <w:szCs w:val="24"/>
        </w:rPr>
      </w:pPr>
      <w:r w:rsidRPr="00D408A7">
        <w:rPr>
          <w:rFonts w:cs="Times New Roman"/>
          <w:spacing w:val="-1"/>
          <w:sz w:val="24"/>
          <w:szCs w:val="24"/>
        </w:rPr>
        <w:t>Grant amounts</w:t>
      </w:r>
      <w:r w:rsidRPr="00D408A7">
        <w:rPr>
          <w:rFonts w:cs="Times New Roman"/>
          <w:sz w:val="24"/>
          <w:szCs w:val="24"/>
        </w:rPr>
        <w:t xml:space="preserve"> </w:t>
      </w:r>
      <w:r w:rsidRPr="00D408A7">
        <w:rPr>
          <w:rFonts w:cs="Times New Roman"/>
          <w:spacing w:val="-1"/>
          <w:sz w:val="24"/>
          <w:szCs w:val="24"/>
        </w:rPr>
        <w:t>will</w:t>
      </w:r>
      <w:r w:rsidRPr="00D408A7">
        <w:rPr>
          <w:rFonts w:cs="Times New Roman"/>
          <w:spacing w:val="-2"/>
          <w:sz w:val="24"/>
          <w:szCs w:val="24"/>
        </w:rPr>
        <w:t xml:space="preserve"> </w:t>
      </w:r>
      <w:r w:rsidR="00F14113">
        <w:rPr>
          <w:rFonts w:cs="Times New Roman"/>
          <w:spacing w:val="-2"/>
          <w:sz w:val="24"/>
          <w:szCs w:val="24"/>
        </w:rPr>
        <w:t xml:space="preserve">be applied to </w:t>
      </w:r>
      <w:r w:rsidRPr="00D408A7">
        <w:rPr>
          <w:rFonts w:cs="Times New Roman"/>
          <w:spacing w:val="-1"/>
          <w:sz w:val="24"/>
          <w:szCs w:val="24"/>
        </w:rPr>
        <w:t>cover</w:t>
      </w:r>
      <w:r w:rsidRPr="00D408A7">
        <w:rPr>
          <w:rFonts w:cs="Times New Roman"/>
          <w:spacing w:val="1"/>
          <w:sz w:val="24"/>
          <w:szCs w:val="24"/>
        </w:rPr>
        <w:t xml:space="preserve"> </w:t>
      </w:r>
      <w:r w:rsidRPr="00D408A7">
        <w:rPr>
          <w:rFonts w:cs="Times New Roman"/>
          <w:spacing w:val="-1"/>
          <w:sz w:val="24"/>
          <w:szCs w:val="24"/>
        </w:rPr>
        <w:t>the</w:t>
      </w:r>
      <w:r w:rsidRPr="00D408A7">
        <w:rPr>
          <w:rFonts w:cs="Times New Roman"/>
          <w:sz w:val="24"/>
          <w:szCs w:val="24"/>
        </w:rPr>
        <w:t xml:space="preserve"> </w:t>
      </w:r>
      <w:r w:rsidRPr="00D408A7">
        <w:rPr>
          <w:rFonts w:cs="Times New Roman"/>
          <w:spacing w:val="-1"/>
          <w:sz w:val="24"/>
          <w:szCs w:val="24"/>
        </w:rPr>
        <w:t>full</w:t>
      </w:r>
      <w:r w:rsidRPr="00D408A7">
        <w:rPr>
          <w:rFonts w:cs="Times New Roman"/>
          <w:spacing w:val="-2"/>
          <w:sz w:val="24"/>
          <w:szCs w:val="24"/>
        </w:rPr>
        <w:t xml:space="preserve"> </w:t>
      </w:r>
      <w:r w:rsidRPr="00D408A7">
        <w:rPr>
          <w:rFonts w:cs="Times New Roman"/>
          <w:spacing w:val="-1"/>
          <w:sz w:val="24"/>
          <w:szCs w:val="24"/>
        </w:rPr>
        <w:t>registration</w:t>
      </w:r>
      <w:r w:rsidRPr="00D408A7">
        <w:rPr>
          <w:rFonts w:cs="Times New Roman"/>
          <w:sz w:val="24"/>
          <w:szCs w:val="24"/>
        </w:rPr>
        <w:t xml:space="preserve"> </w:t>
      </w:r>
      <w:r w:rsidRPr="00D408A7">
        <w:rPr>
          <w:rFonts w:cs="Times New Roman"/>
          <w:spacing w:val="-1"/>
          <w:sz w:val="24"/>
          <w:szCs w:val="24"/>
        </w:rPr>
        <w:t>fee</w:t>
      </w:r>
      <w:r w:rsidRPr="00D408A7">
        <w:rPr>
          <w:rFonts w:cs="Times New Roman"/>
          <w:spacing w:val="-2"/>
          <w:sz w:val="24"/>
          <w:szCs w:val="24"/>
        </w:rPr>
        <w:t xml:space="preserve"> </w:t>
      </w:r>
      <w:r w:rsidRPr="00D408A7">
        <w:rPr>
          <w:rFonts w:cs="Times New Roman"/>
          <w:sz w:val="24"/>
          <w:szCs w:val="24"/>
        </w:rPr>
        <w:t>for</w:t>
      </w:r>
      <w:r w:rsidRPr="00D408A7">
        <w:rPr>
          <w:rFonts w:cs="Times New Roman"/>
          <w:spacing w:val="-2"/>
          <w:sz w:val="24"/>
          <w:szCs w:val="24"/>
        </w:rPr>
        <w:t xml:space="preserve"> </w:t>
      </w:r>
      <w:r w:rsidRPr="00D408A7">
        <w:rPr>
          <w:rFonts w:cs="Times New Roman"/>
          <w:spacing w:val="-1"/>
          <w:sz w:val="24"/>
          <w:szCs w:val="24"/>
        </w:rPr>
        <w:t xml:space="preserve">the conference </w:t>
      </w:r>
      <w:r w:rsidR="00F14113">
        <w:rPr>
          <w:rFonts w:cs="Times New Roman"/>
          <w:spacing w:val="-1"/>
          <w:sz w:val="24"/>
          <w:szCs w:val="24"/>
        </w:rPr>
        <w:t xml:space="preserve">or CASP Exam.   The East Region Board desires to support NACAS East members in attending Regional Conferences, National Conferences and acquiring CASP certification.      </w:t>
      </w:r>
      <w:r w:rsidRPr="00D408A7">
        <w:rPr>
          <w:rFonts w:cs="Times New Roman"/>
          <w:spacing w:val="2"/>
          <w:sz w:val="24"/>
          <w:szCs w:val="24"/>
        </w:rPr>
        <w:t xml:space="preserve"> </w:t>
      </w:r>
    </w:p>
    <w:p w:rsidR="00634BE6" w:rsidRDefault="00634BE6" w:rsidP="00634BE6">
      <w:pPr>
        <w:rPr>
          <w:sz w:val="24"/>
          <w:szCs w:val="24"/>
          <w:u w:val="single"/>
        </w:rPr>
      </w:pPr>
    </w:p>
    <w:p w:rsidR="00D407D9" w:rsidRDefault="00D407D9" w:rsidP="00634BE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Funding Process</w:t>
      </w:r>
    </w:p>
    <w:p w:rsidR="00D407D9" w:rsidRPr="00634BE6" w:rsidRDefault="00D407D9" w:rsidP="009C4871">
      <w:pPr>
        <w:rPr>
          <w:sz w:val="24"/>
          <w:szCs w:val="24"/>
        </w:rPr>
      </w:pPr>
      <w:r>
        <w:rPr>
          <w:sz w:val="24"/>
          <w:szCs w:val="24"/>
        </w:rPr>
        <w:t>Funding for registration fees will come from</w:t>
      </w:r>
      <w:r w:rsidRPr="00D407D9">
        <w:rPr>
          <w:sz w:val="24"/>
          <w:szCs w:val="24"/>
        </w:rPr>
        <w:t xml:space="preserve"> </w:t>
      </w:r>
      <w:r>
        <w:rPr>
          <w:sz w:val="24"/>
          <w:szCs w:val="24"/>
        </w:rPr>
        <w:t>a dedicated revenue stream: an annual contribution from regional net assets.</w:t>
      </w:r>
      <w:r w:rsidR="00F14113">
        <w:rPr>
          <w:sz w:val="24"/>
          <w:szCs w:val="24"/>
        </w:rPr>
        <w:t xml:space="preserve">  </w:t>
      </w:r>
      <w:r w:rsidR="00646851">
        <w:rPr>
          <w:sz w:val="24"/>
          <w:szCs w:val="24"/>
        </w:rPr>
        <w:t>Initially, t</w:t>
      </w:r>
      <w:r w:rsidR="00F14113">
        <w:rPr>
          <w:sz w:val="24"/>
          <w:szCs w:val="24"/>
        </w:rPr>
        <w:t xml:space="preserve">he NACAS East Board desires to provide 8 Grants a year in support of the Regional Conference (4 grants), National Conference (2 grants) and CASP Exam (2 grants) provided demand and funds are available.  </w:t>
      </w:r>
    </w:p>
    <w:p w:rsidR="00D407D9" w:rsidRDefault="00D407D9" w:rsidP="009C4871">
      <w:pPr>
        <w:rPr>
          <w:sz w:val="24"/>
          <w:szCs w:val="24"/>
          <w:u w:val="single"/>
        </w:rPr>
      </w:pPr>
    </w:p>
    <w:p w:rsidR="00860CA2" w:rsidRDefault="009E01AB" w:rsidP="009C4871">
      <w:pPr>
        <w:rPr>
          <w:sz w:val="24"/>
          <w:szCs w:val="24"/>
          <w:u w:val="single"/>
        </w:rPr>
      </w:pPr>
      <w:r w:rsidRPr="009E01AB">
        <w:rPr>
          <w:sz w:val="24"/>
          <w:szCs w:val="24"/>
          <w:u w:val="single"/>
        </w:rPr>
        <w:t>Eligibility</w:t>
      </w:r>
    </w:p>
    <w:p w:rsidR="001C2083" w:rsidRPr="001C2083" w:rsidRDefault="009E01AB" w:rsidP="00E34EB3">
      <w:pPr>
        <w:pStyle w:val="ListParagraph"/>
        <w:numPr>
          <w:ilvl w:val="0"/>
          <w:numId w:val="5"/>
        </w:numPr>
        <w:rPr>
          <w:color w:val="7030A0"/>
          <w:sz w:val="24"/>
          <w:szCs w:val="24"/>
        </w:rPr>
      </w:pPr>
      <w:r w:rsidRPr="00E34EB3">
        <w:rPr>
          <w:sz w:val="24"/>
          <w:szCs w:val="24"/>
        </w:rPr>
        <w:t xml:space="preserve">All applicants: </w:t>
      </w:r>
    </w:p>
    <w:p w:rsidR="009E01AB" w:rsidRPr="009171F4" w:rsidRDefault="009E01AB" w:rsidP="001C208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34EB3">
        <w:rPr>
          <w:sz w:val="24"/>
          <w:szCs w:val="24"/>
        </w:rPr>
        <w:t xml:space="preserve">Must be a NACAS institutional member </w:t>
      </w:r>
      <w:r w:rsidRPr="009171F4">
        <w:rPr>
          <w:sz w:val="24"/>
          <w:szCs w:val="24"/>
        </w:rPr>
        <w:t xml:space="preserve">of </w:t>
      </w:r>
      <w:r w:rsidR="001C2083" w:rsidRPr="009171F4">
        <w:rPr>
          <w:sz w:val="24"/>
          <w:szCs w:val="24"/>
        </w:rPr>
        <w:t>a minimum of</w:t>
      </w:r>
      <w:r w:rsidRPr="009171F4">
        <w:rPr>
          <w:sz w:val="24"/>
          <w:szCs w:val="24"/>
        </w:rPr>
        <w:t xml:space="preserve"> one year.</w:t>
      </w:r>
    </w:p>
    <w:p w:rsidR="001C2083" w:rsidRPr="009171F4" w:rsidRDefault="001C2083" w:rsidP="001C208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171F4">
        <w:rPr>
          <w:sz w:val="24"/>
          <w:szCs w:val="24"/>
        </w:rPr>
        <w:t>May apply</w:t>
      </w:r>
      <w:r w:rsidR="002A7352" w:rsidRPr="009171F4">
        <w:rPr>
          <w:sz w:val="24"/>
          <w:szCs w:val="24"/>
        </w:rPr>
        <w:t xml:space="preserve"> </w:t>
      </w:r>
      <w:r w:rsidRPr="009171F4">
        <w:rPr>
          <w:sz w:val="24"/>
          <w:szCs w:val="24"/>
        </w:rPr>
        <w:t xml:space="preserve">for </w:t>
      </w:r>
      <w:r w:rsidR="002A7352" w:rsidRPr="009171F4">
        <w:rPr>
          <w:sz w:val="24"/>
          <w:szCs w:val="24"/>
        </w:rPr>
        <w:t xml:space="preserve">(or </w:t>
      </w:r>
      <w:r w:rsidR="00051373">
        <w:rPr>
          <w:sz w:val="24"/>
          <w:szCs w:val="24"/>
        </w:rPr>
        <w:t>m</w:t>
      </w:r>
      <w:r w:rsidR="002A7352" w:rsidRPr="009171F4">
        <w:rPr>
          <w:sz w:val="24"/>
          <w:szCs w:val="24"/>
        </w:rPr>
        <w:t xml:space="preserve">ay receive) </w:t>
      </w:r>
      <w:r w:rsidRPr="009171F4">
        <w:rPr>
          <w:sz w:val="24"/>
          <w:szCs w:val="24"/>
        </w:rPr>
        <w:t>only one grant per year</w:t>
      </w:r>
      <w:r w:rsidR="00805357" w:rsidRPr="009171F4">
        <w:rPr>
          <w:sz w:val="24"/>
          <w:szCs w:val="24"/>
        </w:rPr>
        <w:t xml:space="preserve">; may apply </w:t>
      </w:r>
      <w:r w:rsidR="002A7352" w:rsidRPr="009171F4">
        <w:rPr>
          <w:sz w:val="24"/>
          <w:szCs w:val="24"/>
        </w:rPr>
        <w:t xml:space="preserve">in </w:t>
      </w:r>
      <w:r w:rsidR="00805357" w:rsidRPr="009171F4">
        <w:rPr>
          <w:sz w:val="24"/>
          <w:szCs w:val="24"/>
        </w:rPr>
        <w:t>multiple years</w:t>
      </w:r>
      <w:r w:rsidRPr="009171F4">
        <w:rPr>
          <w:sz w:val="24"/>
          <w:szCs w:val="24"/>
        </w:rPr>
        <w:t>.</w:t>
      </w:r>
    </w:p>
    <w:p w:rsidR="00646851" w:rsidRPr="00D731DA" w:rsidRDefault="00805357" w:rsidP="009C4871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 w:rsidRPr="00D731DA">
        <w:rPr>
          <w:sz w:val="24"/>
          <w:szCs w:val="24"/>
        </w:rPr>
        <w:t xml:space="preserve">CASP </w:t>
      </w:r>
      <w:r w:rsidR="009E01AB" w:rsidRPr="00D731DA">
        <w:rPr>
          <w:sz w:val="24"/>
          <w:szCs w:val="24"/>
        </w:rPr>
        <w:t xml:space="preserve">applicant: Must be </w:t>
      </w:r>
      <w:r w:rsidR="0061584D" w:rsidRPr="00D731DA">
        <w:rPr>
          <w:sz w:val="24"/>
          <w:szCs w:val="24"/>
        </w:rPr>
        <w:t>a registered program participant</w:t>
      </w:r>
      <w:r w:rsidR="009E01AB" w:rsidRPr="00D731DA">
        <w:rPr>
          <w:sz w:val="24"/>
          <w:szCs w:val="24"/>
        </w:rPr>
        <w:t xml:space="preserve"> in an institute program at the time of application.</w:t>
      </w:r>
    </w:p>
    <w:p w:rsidR="00D731DA" w:rsidRPr="00D731DA" w:rsidRDefault="00D731DA" w:rsidP="00D731DA">
      <w:pPr>
        <w:pStyle w:val="ListParagraph"/>
        <w:rPr>
          <w:sz w:val="24"/>
          <w:szCs w:val="24"/>
          <w:u w:val="single"/>
        </w:rPr>
      </w:pPr>
    </w:p>
    <w:p w:rsidR="009E01AB" w:rsidRPr="00F14113" w:rsidRDefault="00EC137B" w:rsidP="009C4871">
      <w:pPr>
        <w:rPr>
          <w:sz w:val="24"/>
          <w:szCs w:val="24"/>
          <w:u w:val="single"/>
        </w:rPr>
      </w:pPr>
      <w:r w:rsidRPr="00F14113">
        <w:rPr>
          <w:sz w:val="24"/>
          <w:szCs w:val="24"/>
          <w:u w:val="single"/>
        </w:rPr>
        <w:t>Selection C</w:t>
      </w:r>
      <w:r w:rsidR="00E34EB3" w:rsidRPr="00F14113">
        <w:rPr>
          <w:sz w:val="24"/>
          <w:szCs w:val="24"/>
          <w:u w:val="single"/>
        </w:rPr>
        <w:t>riteria</w:t>
      </w:r>
    </w:p>
    <w:p w:rsidR="00EC137B" w:rsidRDefault="00EC137B" w:rsidP="009C4871">
      <w:pPr>
        <w:rPr>
          <w:color w:val="FF0000"/>
          <w:sz w:val="24"/>
          <w:szCs w:val="24"/>
        </w:rPr>
      </w:pPr>
      <w:r w:rsidRPr="00EC137B">
        <w:rPr>
          <w:sz w:val="24"/>
          <w:szCs w:val="24"/>
        </w:rPr>
        <w:t>Educational grants will be awarded</w:t>
      </w:r>
      <w:r w:rsidR="00F14113">
        <w:rPr>
          <w:sz w:val="24"/>
          <w:szCs w:val="24"/>
        </w:rPr>
        <w:t xml:space="preserve"> </w:t>
      </w:r>
      <w:r w:rsidRPr="00EC137B">
        <w:rPr>
          <w:sz w:val="24"/>
          <w:szCs w:val="24"/>
        </w:rPr>
        <w:t>on the basis of</w:t>
      </w:r>
      <w:r w:rsidR="00F14113">
        <w:rPr>
          <w:sz w:val="24"/>
          <w:szCs w:val="24"/>
        </w:rPr>
        <w:t xml:space="preserve"> a vote by the East Board upon receipt of a completed application.  Grants will be approved until funds allocated are fully executed.  Any funds not executed in a fiscal year may be carried over to the next fiscal year, if recommen</w:t>
      </w:r>
      <w:r w:rsidR="00646851">
        <w:rPr>
          <w:sz w:val="24"/>
          <w:szCs w:val="24"/>
        </w:rPr>
        <w:t xml:space="preserve">ded by the NACAS East Treasurer and approved by the NACAS East Board of Directors.  </w:t>
      </w:r>
      <w:r w:rsidR="00F14113">
        <w:rPr>
          <w:sz w:val="24"/>
          <w:szCs w:val="24"/>
        </w:rPr>
        <w:t xml:space="preserve"> </w:t>
      </w:r>
    </w:p>
    <w:p w:rsidR="00B855BA" w:rsidRDefault="00B855BA" w:rsidP="009C4871">
      <w:pPr>
        <w:rPr>
          <w:sz w:val="24"/>
          <w:szCs w:val="24"/>
          <w:u w:val="single"/>
        </w:rPr>
      </w:pPr>
    </w:p>
    <w:p w:rsidR="00C33998" w:rsidRPr="002E40DD" w:rsidRDefault="00C33998" w:rsidP="009C4871">
      <w:pPr>
        <w:rPr>
          <w:sz w:val="24"/>
          <w:szCs w:val="24"/>
          <w:u w:val="single"/>
        </w:rPr>
      </w:pPr>
      <w:r w:rsidRPr="002E40DD">
        <w:rPr>
          <w:sz w:val="24"/>
          <w:szCs w:val="24"/>
          <w:u w:val="single"/>
        </w:rPr>
        <w:t>Disbursement of Funds</w:t>
      </w:r>
    </w:p>
    <w:p w:rsidR="00C33998" w:rsidRDefault="003C390E" w:rsidP="009C4871">
      <w:pPr>
        <w:rPr>
          <w:sz w:val="24"/>
          <w:szCs w:val="24"/>
        </w:rPr>
      </w:pPr>
      <w:r w:rsidRPr="002E40DD">
        <w:rPr>
          <w:sz w:val="24"/>
          <w:szCs w:val="24"/>
        </w:rPr>
        <w:t xml:space="preserve">Registration fees </w:t>
      </w:r>
      <w:r w:rsidR="00634BE6">
        <w:rPr>
          <w:sz w:val="24"/>
          <w:szCs w:val="24"/>
        </w:rPr>
        <w:t xml:space="preserve">(for conferences or CASP) </w:t>
      </w:r>
      <w:r w:rsidRPr="002E40DD">
        <w:rPr>
          <w:sz w:val="24"/>
          <w:szCs w:val="24"/>
        </w:rPr>
        <w:t>are an internal transfer of funds between NACAS accounts.</w:t>
      </w:r>
      <w:r w:rsidR="0060295D">
        <w:rPr>
          <w:sz w:val="24"/>
          <w:szCs w:val="24"/>
        </w:rPr>
        <w:t xml:space="preserve">  NACAS East Treasurer upon approval of a grant application will transfer those funds to the Region, National or CASP.  </w:t>
      </w:r>
    </w:p>
    <w:p w:rsidR="00634BE6" w:rsidRDefault="00634BE6" w:rsidP="009C4871">
      <w:pPr>
        <w:rPr>
          <w:sz w:val="24"/>
          <w:szCs w:val="24"/>
        </w:rPr>
      </w:pPr>
    </w:p>
    <w:p w:rsidR="007D3057" w:rsidRDefault="007D3057" w:rsidP="009C4871">
      <w:pPr>
        <w:rPr>
          <w:sz w:val="24"/>
          <w:szCs w:val="24"/>
          <w:u w:val="single"/>
        </w:rPr>
      </w:pPr>
      <w:r w:rsidRPr="007D3057">
        <w:rPr>
          <w:sz w:val="24"/>
          <w:szCs w:val="24"/>
          <w:u w:val="single"/>
        </w:rPr>
        <w:t>Application Process and Timeline</w:t>
      </w:r>
    </w:p>
    <w:p w:rsidR="007D3057" w:rsidRDefault="00FE7ED7" w:rsidP="009C4871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60295D">
        <w:rPr>
          <w:sz w:val="24"/>
          <w:szCs w:val="24"/>
        </w:rPr>
        <w:t xml:space="preserve">January </w:t>
      </w:r>
      <w:r>
        <w:rPr>
          <w:sz w:val="24"/>
          <w:szCs w:val="24"/>
        </w:rPr>
        <w:t>of each year, the NACAS East Board of Directors will announce the number and amounts of educational grants for the coming fiscal year</w:t>
      </w:r>
      <w:r w:rsidR="0060295D">
        <w:rPr>
          <w:sz w:val="24"/>
          <w:szCs w:val="24"/>
        </w:rPr>
        <w:t xml:space="preserve"> and confirm when applications are due.  Appendix A is the application and </w:t>
      </w:r>
      <w:r w:rsidR="00646851">
        <w:rPr>
          <w:sz w:val="24"/>
          <w:szCs w:val="24"/>
        </w:rPr>
        <w:t xml:space="preserve">must </w:t>
      </w:r>
      <w:r w:rsidR="0060295D">
        <w:rPr>
          <w:sz w:val="24"/>
          <w:szCs w:val="24"/>
        </w:rPr>
        <w:t xml:space="preserve">be completed in its entirety.   </w:t>
      </w:r>
    </w:p>
    <w:p w:rsidR="009C46C9" w:rsidRDefault="009C46C9" w:rsidP="009C4871">
      <w:pPr>
        <w:rPr>
          <w:sz w:val="24"/>
          <w:szCs w:val="24"/>
        </w:rPr>
      </w:pPr>
    </w:p>
    <w:p w:rsidR="00FE7ED7" w:rsidRDefault="00FE7ED7" w:rsidP="009C4871">
      <w:pPr>
        <w:rPr>
          <w:sz w:val="24"/>
          <w:szCs w:val="24"/>
        </w:rPr>
      </w:pPr>
      <w:r>
        <w:rPr>
          <w:sz w:val="24"/>
          <w:szCs w:val="24"/>
        </w:rPr>
        <w:t xml:space="preserve">Applications for the regional and national conferences must be electronically submitted to </w:t>
      </w:r>
      <w:r w:rsidR="006C0CD5">
        <w:rPr>
          <w:sz w:val="24"/>
          <w:szCs w:val="24"/>
        </w:rPr>
        <w:t xml:space="preserve">the </w:t>
      </w:r>
      <w:r w:rsidR="005211F9">
        <w:rPr>
          <w:sz w:val="24"/>
          <w:szCs w:val="24"/>
        </w:rPr>
        <w:t xml:space="preserve">Year </w:t>
      </w:r>
      <w:r w:rsidR="00512ED9">
        <w:rPr>
          <w:sz w:val="24"/>
          <w:szCs w:val="24"/>
        </w:rPr>
        <w:t>1</w:t>
      </w:r>
      <w:r w:rsidR="005211F9">
        <w:rPr>
          <w:sz w:val="24"/>
          <w:szCs w:val="24"/>
        </w:rPr>
        <w:t xml:space="preserve"> </w:t>
      </w:r>
      <w:r w:rsidR="0060295D">
        <w:rPr>
          <w:sz w:val="24"/>
          <w:szCs w:val="24"/>
        </w:rPr>
        <w:t xml:space="preserve">Director on the NACAS EAST Board and received by </w:t>
      </w:r>
      <w:r w:rsidR="00D731DA">
        <w:rPr>
          <w:sz w:val="24"/>
          <w:szCs w:val="24"/>
        </w:rPr>
        <w:t xml:space="preserve">April </w:t>
      </w:r>
      <w:r w:rsidR="0060295D">
        <w:rPr>
          <w:sz w:val="24"/>
          <w:szCs w:val="24"/>
        </w:rPr>
        <w:t>1 for the East</w:t>
      </w:r>
      <w:r w:rsidR="00D731DA">
        <w:rPr>
          <w:sz w:val="24"/>
          <w:szCs w:val="24"/>
        </w:rPr>
        <w:t xml:space="preserve"> Region</w:t>
      </w:r>
      <w:r w:rsidR="0060295D">
        <w:rPr>
          <w:sz w:val="24"/>
          <w:szCs w:val="24"/>
        </w:rPr>
        <w:t xml:space="preserve"> Conference and July</w:t>
      </w:r>
      <w:r w:rsidR="00D731DA">
        <w:rPr>
          <w:sz w:val="24"/>
          <w:szCs w:val="24"/>
        </w:rPr>
        <w:t xml:space="preserve"> </w:t>
      </w:r>
      <w:r w:rsidR="0060295D">
        <w:rPr>
          <w:sz w:val="24"/>
          <w:szCs w:val="24"/>
        </w:rPr>
        <w:t xml:space="preserve">1 for the National Conference.  </w:t>
      </w:r>
    </w:p>
    <w:p w:rsidR="0060295D" w:rsidRDefault="0060295D" w:rsidP="009C4871">
      <w:pPr>
        <w:rPr>
          <w:sz w:val="24"/>
          <w:szCs w:val="24"/>
        </w:rPr>
      </w:pPr>
    </w:p>
    <w:p w:rsidR="0060295D" w:rsidRDefault="0060295D" w:rsidP="009C4871">
      <w:pPr>
        <w:rPr>
          <w:sz w:val="24"/>
          <w:szCs w:val="24"/>
        </w:rPr>
      </w:pPr>
      <w:r>
        <w:rPr>
          <w:sz w:val="24"/>
          <w:szCs w:val="24"/>
        </w:rPr>
        <w:t xml:space="preserve">Applications for CASP exams must be received by May 1 and detail date and place exam will take place.  </w:t>
      </w:r>
    </w:p>
    <w:p w:rsidR="00FE7ED7" w:rsidRDefault="00FE7ED7" w:rsidP="009C4871">
      <w:pPr>
        <w:rPr>
          <w:sz w:val="24"/>
          <w:szCs w:val="24"/>
        </w:rPr>
      </w:pPr>
    </w:p>
    <w:p w:rsidR="00634BE6" w:rsidRDefault="00634BE6">
      <w:pPr>
        <w:rPr>
          <w:color w:val="FF0000"/>
          <w:sz w:val="24"/>
          <w:szCs w:val="24"/>
        </w:rPr>
      </w:pPr>
    </w:p>
    <w:p w:rsidR="003A4C23" w:rsidRDefault="003A4C2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sectPr w:rsidR="003A4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8CE"/>
    <w:multiLevelType w:val="hybridMultilevel"/>
    <w:tmpl w:val="B95C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15897"/>
    <w:multiLevelType w:val="hybridMultilevel"/>
    <w:tmpl w:val="9F980CB2"/>
    <w:lvl w:ilvl="0" w:tplc="71A407A2">
      <w:start w:val="1"/>
      <w:numFmt w:val="decimal"/>
      <w:lvlText w:val="%1."/>
      <w:lvlJc w:val="left"/>
      <w:pPr>
        <w:ind w:left="500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1385DFA">
      <w:start w:val="1"/>
      <w:numFmt w:val="bullet"/>
      <w:lvlText w:val="•"/>
      <w:lvlJc w:val="left"/>
      <w:pPr>
        <w:ind w:left="7197" w:hanging="221"/>
      </w:pPr>
      <w:rPr>
        <w:rFonts w:hint="default"/>
      </w:rPr>
    </w:lvl>
    <w:lvl w:ilvl="2" w:tplc="CEB0DE7C">
      <w:start w:val="1"/>
      <w:numFmt w:val="bullet"/>
      <w:lvlText w:val="•"/>
      <w:lvlJc w:val="left"/>
      <w:pPr>
        <w:ind w:left="8184" w:hanging="221"/>
      </w:pPr>
      <w:rPr>
        <w:rFonts w:hint="default"/>
      </w:rPr>
    </w:lvl>
    <w:lvl w:ilvl="3" w:tplc="B68837AA">
      <w:start w:val="1"/>
      <w:numFmt w:val="bullet"/>
      <w:lvlText w:val="•"/>
      <w:lvlJc w:val="left"/>
      <w:pPr>
        <w:ind w:left="8354" w:hanging="221"/>
      </w:pPr>
      <w:rPr>
        <w:rFonts w:hint="default"/>
      </w:rPr>
    </w:lvl>
    <w:lvl w:ilvl="4" w:tplc="D0DE64F4">
      <w:start w:val="1"/>
      <w:numFmt w:val="bullet"/>
      <w:lvlText w:val="•"/>
      <w:lvlJc w:val="left"/>
      <w:pPr>
        <w:ind w:left="8538" w:hanging="221"/>
      </w:pPr>
      <w:rPr>
        <w:rFonts w:hint="default"/>
      </w:rPr>
    </w:lvl>
    <w:lvl w:ilvl="5" w:tplc="539E69BC">
      <w:start w:val="1"/>
      <w:numFmt w:val="bullet"/>
      <w:lvlText w:val="•"/>
      <w:lvlJc w:val="left"/>
      <w:pPr>
        <w:ind w:left="8721" w:hanging="221"/>
      </w:pPr>
      <w:rPr>
        <w:rFonts w:hint="default"/>
      </w:rPr>
    </w:lvl>
    <w:lvl w:ilvl="6" w:tplc="DBBECAB4">
      <w:start w:val="1"/>
      <w:numFmt w:val="bullet"/>
      <w:lvlText w:val="•"/>
      <w:lvlJc w:val="left"/>
      <w:pPr>
        <w:ind w:left="8905" w:hanging="221"/>
      </w:pPr>
      <w:rPr>
        <w:rFonts w:hint="default"/>
      </w:rPr>
    </w:lvl>
    <w:lvl w:ilvl="7" w:tplc="EFD8E884">
      <w:start w:val="1"/>
      <w:numFmt w:val="bullet"/>
      <w:lvlText w:val="•"/>
      <w:lvlJc w:val="left"/>
      <w:pPr>
        <w:ind w:left="9089" w:hanging="221"/>
      </w:pPr>
      <w:rPr>
        <w:rFonts w:hint="default"/>
      </w:rPr>
    </w:lvl>
    <w:lvl w:ilvl="8" w:tplc="9BB86546">
      <w:start w:val="1"/>
      <w:numFmt w:val="bullet"/>
      <w:lvlText w:val="•"/>
      <w:lvlJc w:val="left"/>
      <w:pPr>
        <w:ind w:left="9272" w:hanging="221"/>
      </w:pPr>
      <w:rPr>
        <w:rFonts w:hint="default"/>
      </w:rPr>
    </w:lvl>
  </w:abstractNum>
  <w:abstractNum w:abstractNumId="2" w15:restartNumberingAfterBreak="0">
    <w:nsid w:val="14A4797E"/>
    <w:multiLevelType w:val="hybridMultilevel"/>
    <w:tmpl w:val="782A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34E24"/>
    <w:multiLevelType w:val="hybridMultilevel"/>
    <w:tmpl w:val="1BA0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A2ED3"/>
    <w:multiLevelType w:val="hybridMultilevel"/>
    <w:tmpl w:val="3418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C54AD"/>
    <w:multiLevelType w:val="hybridMultilevel"/>
    <w:tmpl w:val="940E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707E8"/>
    <w:multiLevelType w:val="hybridMultilevel"/>
    <w:tmpl w:val="0CEE80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1972ED2"/>
    <w:multiLevelType w:val="hybridMultilevel"/>
    <w:tmpl w:val="DEFE5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43807"/>
    <w:multiLevelType w:val="hybridMultilevel"/>
    <w:tmpl w:val="314EECCA"/>
    <w:lvl w:ilvl="0" w:tplc="B8F4E538">
      <w:start w:val="1"/>
      <w:numFmt w:val="decimal"/>
      <w:lvlText w:val="%1."/>
      <w:lvlJc w:val="left"/>
      <w:pPr>
        <w:ind w:left="500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281E7C3E">
      <w:start w:val="1"/>
      <w:numFmt w:val="bullet"/>
      <w:lvlText w:val="•"/>
      <w:lvlJc w:val="left"/>
      <w:pPr>
        <w:ind w:left="7197" w:hanging="221"/>
      </w:pPr>
      <w:rPr>
        <w:rFonts w:hint="default"/>
      </w:rPr>
    </w:lvl>
    <w:lvl w:ilvl="2" w:tplc="B77C904C">
      <w:start w:val="1"/>
      <w:numFmt w:val="bullet"/>
      <w:lvlText w:val="•"/>
      <w:lvlJc w:val="left"/>
      <w:pPr>
        <w:ind w:left="8184" w:hanging="221"/>
      </w:pPr>
      <w:rPr>
        <w:rFonts w:hint="default"/>
      </w:rPr>
    </w:lvl>
    <w:lvl w:ilvl="3" w:tplc="37285216">
      <w:start w:val="1"/>
      <w:numFmt w:val="bullet"/>
      <w:lvlText w:val="•"/>
      <w:lvlJc w:val="left"/>
      <w:pPr>
        <w:ind w:left="8354" w:hanging="221"/>
      </w:pPr>
      <w:rPr>
        <w:rFonts w:hint="default"/>
      </w:rPr>
    </w:lvl>
    <w:lvl w:ilvl="4" w:tplc="7F96FEF0">
      <w:start w:val="1"/>
      <w:numFmt w:val="bullet"/>
      <w:lvlText w:val="•"/>
      <w:lvlJc w:val="left"/>
      <w:pPr>
        <w:ind w:left="8538" w:hanging="221"/>
      </w:pPr>
      <w:rPr>
        <w:rFonts w:hint="default"/>
      </w:rPr>
    </w:lvl>
    <w:lvl w:ilvl="5" w:tplc="0B007874">
      <w:start w:val="1"/>
      <w:numFmt w:val="bullet"/>
      <w:lvlText w:val="•"/>
      <w:lvlJc w:val="left"/>
      <w:pPr>
        <w:ind w:left="8721" w:hanging="221"/>
      </w:pPr>
      <w:rPr>
        <w:rFonts w:hint="default"/>
      </w:rPr>
    </w:lvl>
    <w:lvl w:ilvl="6" w:tplc="862252C2">
      <w:start w:val="1"/>
      <w:numFmt w:val="bullet"/>
      <w:lvlText w:val="•"/>
      <w:lvlJc w:val="left"/>
      <w:pPr>
        <w:ind w:left="8905" w:hanging="221"/>
      </w:pPr>
      <w:rPr>
        <w:rFonts w:hint="default"/>
      </w:rPr>
    </w:lvl>
    <w:lvl w:ilvl="7" w:tplc="5BC04FA0">
      <w:start w:val="1"/>
      <w:numFmt w:val="bullet"/>
      <w:lvlText w:val="•"/>
      <w:lvlJc w:val="left"/>
      <w:pPr>
        <w:ind w:left="9089" w:hanging="221"/>
      </w:pPr>
      <w:rPr>
        <w:rFonts w:hint="default"/>
      </w:rPr>
    </w:lvl>
    <w:lvl w:ilvl="8" w:tplc="315E4C84">
      <w:start w:val="1"/>
      <w:numFmt w:val="bullet"/>
      <w:lvlText w:val="•"/>
      <w:lvlJc w:val="left"/>
      <w:pPr>
        <w:ind w:left="9272" w:hanging="221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7D"/>
    <w:rsid w:val="00051373"/>
    <w:rsid w:val="00153574"/>
    <w:rsid w:val="00187F89"/>
    <w:rsid w:val="001C2083"/>
    <w:rsid w:val="002A7352"/>
    <w:rsid w:val="002E40DD"/>
    <w:rsid w:val="00326E2D"/>
    <w:rsid w:val="003A4C23"/>
    <w:rsid w:val="003C390E"/>
    <w:rsid w:val="004C3DC0"/>
    <w:rsid w:val="00512ED9"/>
    <w:rsid w:val="005211F9"/>
    <w:rsid w:val="0060295D"/>
    <w:rsid w:val="0061584D"/>
    <w:rsid w:val="00634199"/>
    <w:rsid w:val="00634BE6"/>
    <w:rsid w:val="00642083"/>
    <w:rsid w:val="00646851"/>
    <w:rsid w:val="00675DAA"/>
    <w:rsid w:val="00692557"/>
    <w:rsid w:val="006C0CD5"/>
    <w:rsid w:val="007226D3"/>
    <w:rsid w:val="0076273B"/>
    <w:rsid w:val="00767C67"/>
    <w:rsid w:val="00793E49"/>
    <w:rsid w:val="007D3057"/>
    <w:rsid w:val="0080422E"/>
    <w:rsid w:val="00805357"/>
    <w:rsid w:val="00822BAE"/>
    <w:rsid w:val="00860CA2"/>
    <w:rsid w:val="00866787"/>
    <w:rsid w:val="009171F4"/>
    <w:rsid w:val="00922CC8"/>
    <w:rsid w:val="009C46C9"/>
    <w:rsid w:val="009C4871"/>
    <w:rsid w:val="009E01AB"/>
    <w:rsid w:val="00A06C40"/>
    <w:rsid w:val="00A46542"/>
    <w:rsid w:val="00A537CE"/>
    <w:rsid w:val="00AA5A7C"/>
    <w:rsid w:val="00B43F92"/>
    <w:rsid w:val="00B855BA"/>
    <w:rsid w:val="00BF28E5"/>
    <w:rsid w:val="00C33998"/>
    <w:rsid w:val="00C449D4"/>
    <w:rsid w:val="00D2219E"/>
    <w:rsid w:val="00D407D9"/>
    <w:rsid w:val="00D408A7"/>
    <w:rsid w:val="00D731DA"/>
    <w:rsid w:val="00DB1B11"/>
    <w:rsid w:val="00DF42D9"/>
    <w:rsid w:val="00E256FB"/>
    <w:rsid w:val="00E34EB3"/>
    <w:rsid w:val="00E53574"/>
    <w:rsid w:val="00E6600F"/>
    <w:rsid w:val="00E7637D"/>
    <w:rsid w:val="00EC137B"/>
    <w:rsid w:val="00F14113"/>
    <w:rsid w:val="00FA0FBB"/>
    <w:rsid w:val="00FA331A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E10F1-008D-4968-99C0-FF46BCE1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7D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7637D"/>
    <w:pPr>
      <w:keepNext/>
      <w:spacing w:line="240" w:lineRule="atLeast"/>
      <w:jc w:val="center"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07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E7637D"/>
    <w:pPr>
      <w:keepNext/>
      <w:spacing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637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E7637D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headersofpage">
    <w:name w:val="headers of page"/>
    <w:basedOn w:val="Normal"/>
    <w:rsid w:val="00E7637D"/>
    <w:pPr>
      <w:tabs>
        <w:tab w:val="left" w:pos="7920"/>
      </w:tabs>
      <w:spacing w:line="240" w:lineRule="atLeast"/>
    </w:pPr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326E2D"/>
    <w:pPr>
      <w:ind w:left="720"/>
      <w:contextualSpacing/>
    </w:pPr>
  </w:style>
  <w:style w:type="paragraph" w:styleId="Title">
    <w:name w:val="Title"/>
    <w:basedOn w:val="Normal"/>
    <w:link w:val="TitleChar"/>
    <w:qFormat/>
    <w:rsid w:val="003A4C23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3A4C23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C2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0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7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7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7D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07D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407D9"/>
    <w:pPr>
      <w:widowControl w:val="0"/>
      <w:ind w:left="140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407D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cas.org/regions/east/conference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4955-665F-459C-A06E-063CD6FE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Chahary</dc:creator>
  <cp:lastModifiedBy>Chaharyn, Lee</cp:lastModifiedBy>
  <cp:revision>3</cp:revision>
  <dcterms:created xsi:type="dcterms:W3CDTF">2016-11-18T16:49:00Z</dcterms:created>
  <dcterms:modified xsi:type="dcterms:W3CDTF">2016-11-18T16:59:00Z</dcterms:modified>
</cp:coreProperties>
</file>